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BB" w:rsidRDefault="005408BB" w:rsidP="005408BB">
      <w:pPr>
        <w:pStyle w:val="DWSty2"/>
        <w:spacing w:line="360" w:lineRule="auto"/>
        <w:rPr>
          <w:rFonts w:ascii="Arial" w:hAnsi="Arial" w:cs="Arial"/>
          <w:b/>
          <w:bCs/>
          <w:szCs w:val="20"/>
          <w:lang w:val="it-IT"/>
        </w:rPr>
      </w:pPr>
      <w:bookmarkStart w:id="0" w:name="_GoBack"/>
      <w:bookmarkEnd w:id="0"/>
      <w:r w:rsidRPr="00527192">
        <w:rPr>
          <w:rFonts w:ascii="Arial" w:hAnsi="Arial" w:cs="Arial"/>
          <w:b/>
          <w:bCs/>
          <w:szCs w:val="20"/>
          <w:lang w:val="it-IT"/>
        </w:rPr>
        <w:t>Direzione Generale</w:t>
      </w:r>
    </w:p>
    <w:p w:rsidR="002A2980" w:rsidRDefault="002A2980" w:rsidP="005408BB">
      <w:pPr>
        <w:pStyle w:val="DWSty2"/>
        <w:spacing w:line="360" w:lineRule="auto"/>
        <w:rPr>
          <w:rFonts w:ascii="Arial" w:hAnsi="Arial" w:cs="Arial"/>
          <w:bCs/>
          <w:szCs w:val="20"/>
          <w:lang w:val="it-IT"/>
        </w:rPr>
      </w:pPr>
    </w:p>
    <w:p w:rsidR="005609AF" w:rsidRDefault="005609AF" w:rsidP="000E48B7">
      <w:pPr>
        <w:spacing w:line="360" w:lineRule="auto"/>
        <w:ind w:right="958"/>
        <w:rPr>
          <w:rFonts w:ascii="Arial" w:hAnsi="Arial" w:cs="Arial"/>
          <w:b/>
          <w:color w:val="000000"/>
          <w:w w:val="103"/>
          <w:sz w:val="22"/>
          <w:szCs w:val="22"/>
        </w:rPr>
      </w:pPr>
    </w:p>
    <w:p w:rsidR="005609AF" w:rsidRDefault="00152450" w:rsidP="006C5C51">
      <w:pPr>
        <w:spacing w:line="360" w:lineRule="auto"/>
        <w:ind w:right="958"/>
        <w:jc w:val="both"/>
        <w:rPr>
          <w:rFonts w:ascii="Arial" w:hAnsi="Arial" w:cs="Arial"/>
          <w:b/>
          <w:color w:val="000000"/>
          <w:w w:val="103"/>
          <w:sz w:val="22"/>
          <w:szCs w:val="22"/>
        </w:rPr>
      </w:pPr>
      <w:r>
        <w:rPr>
          <w:rFonts w:ascii="Arial" w:hAnsi="Arial" w:cs="Arial"/>
          <w:b/>
          <w:color w:val="000000"/>
          <w:w w:val="103"/>
          <w:sz w:val="22"/>
          <w:szCs w:val="22"/>
        </w:rPr>
        <w:t>Criteri e modalità per l’utilizzo, da parte dell’Azienda, di graduatorie di pubblici concorsi in corso di validità approvate da altre amministrazioni in attuazione del PTFP 2022-2024</w:t>
      </w:r>
    </w:p>
    <w:p w:rsidR="00152450" w:rsidRPr="00152450" w:rsidRDefault="00152450" w:rsidP="00152450">
      <w:pPr>
        <w:suppressAutoHyphens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152450" w:rsidRDefault="00152450" w:rsidP="00152450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b/>
          <w:sz w:val="20"/>
          <w:szCs w:val="20"/>
          <w:lang w:eastAsia="en-US"/>
        </w:rPr>
        <w:t>Art. 1</w:t>
      </w:r>
    </w:p>
    <w:p w:rsidR="00152450" w:rsidRDefault="00152450" w:rsidP="00152450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(Oggetto)</w:t>
      </w:r>
    </w:p>
    <w:p w:rsidR="00152450" w:rsidRP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>1. Il presente provvedimento stabilisce in via generale i criteri e le modalità con le quali l’Azienda utilizza le graduatorie di pubblici concorsi in corso di validità approvate da altre amministrazioni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(di seguito “graduatorie</w:t>
      </w:r>
      <w:r w:rsidR="00CC11B1">
        <w:rPr>
          <w:rFonts w:ascii="Arial" w:eastAsia="Calibri" w:hAnsi="Arial" w:cs="Arial"/>
          <w:sz w:val="20"/>
          <w:szCs w:val="20"/>
          <w:lang w:eastAsia="en-US"/>
        </w:rPr>
        <w:t>”</w:t>
      </w:r>
      <w:r>
        <w:rPr>
          <w:rFonts w:ascii="Arial" w:eastAsia="Calibri" w:hAnsi="Arial" w:cs="Arial"/>
          <w:sz w:val="20"/>
          <w:szCs w:val="20"/>
          <w:lang w:eastAsia="en-US"/>
        </w:rPr>
        <w:t>)</w:t>
      </w:r>
      <w:r w:rsidRPr="00152450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152450" w:rsidRP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>2. Il presente provvedimento è</w:t>
      </w:r>
      <w:r w:rsidR="00B37564">
        <w:rPr>
          <w:rFonts w:ascii="Arial" w:eastAsia="Calibri" w:hAnsi="Arial" w:cs="Arial"/>
          <w:sz w:val="20"/>
          <w:szCs w:val="20"/>
          <w:lang w:eastAsia="en-US"/>
        </w:rPr>
        <w:t xml:space="preserve"> adottato ai sensi di quanto previsto dal</w:t>
      </w:r>
      <w:r w:rsidR="00323C8D">
        <w:rPr>
          <w:rFonts w:ascii="Arial" w:eastAsia="Calibri" w:hAnsi="Arial" w:cs="Arial"/>
          <w:sz w:val="20"/>
          <w:szCs w:val="20"/>
          <w:lang w:eastAsia="en-US"/>
        </w:rPr>
        <w:t xml:space="preserve"> par. 9 del</w:t>
      </w:r>
      <w:r w:rsidR="00B37564">
        <w:rPr>
          <w:rFonts w:ascii="Arial" w:eastAsia="Calibri" w:hAnsi="Arial" w:cs="Arial"/>
          <w:sz w:val="20"/>
          <w:szCs w:val="20"/>
          <w:lang w:eastAsia="en-US"/>
        </w:rPr>
        <w:t xml:space="preserve"> PTFP 2022-2024 di cui alla delibera del Commissario straordinario n. 6 del 2022, c</w:t>
      </w:r>
      <w:r w:rsidR="00323C8D">
        <w:rPr>
          <w:rFonts w:ascii="Arial" w:eastAsia="Calibri" w:hAnsi="Arial" w:cs="Arial"/>
          <w:sz w:val="20"/>
          <w:szCs w:val="20"/>
          <w:lang w:eastAsia="en-US"/>
        </w:rPr>
        <w:t>he ne demanda al Direttore generale l’attuazione concreta.</w:t>
      </w:r>
      <w:r w:rsidR="00B3756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152450" w:rsidRPr="00152450" w:rsidRDefault="00152450" w:rsidP="00152450">
      <w:pPr>
        <w:suppressAutoHyphens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152450" w:rsidRDefault="00152450" w:rsidP="00152450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Art. 2</w:t>
      </w:r>
    </w:p>
    <w:p w:rsidR="00152450" w:rsidRPr="00152450" w:rsidRDefault="00152450" w:rsidP="00152450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(Priorità sulla scelta degli e</w:t>
      </w:r>
      <w:r w:rsidRPr="00152450">
        <w:rPr>
          <w:rFonts w:ascii="Arial" w:eastAsia="Calibri" w:hAnsi="Arial" w:cs="Arial"/>
          <w:b/>
          <w:sz w:val="20"/>
          <w:szCs w:val="20"/>
          <w:lang w:eastAsia="en-US"/>
        </w:rPr>
        <w:t>nti titolari di graduatorie di pubblici concorsi in corso di validità)</w:t>
      </w:r>
    </w:p>
    <w:p w:rsidR="00152450" w:rsidRPr="00152450" w:rsidRDefault="0036795E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1. Gli scorrimenti</w:t>
      </w:r>
      <w:r w:rsidR="00152450" w:rsidRPr="00152450">
        <w:rPr>
          <w:rFonts w:ascii="Arial" w:eastAsia="Calibri" w:hAnsi="Arial" w:cs="Arial"/>
          <w:sz w:val="20"/>
          <w:szCs w:val="20"/>
          <w:lang w:eastAsia="en-US"/>
        </w:rPr>
        <w:t xml:space="preserve"> d</w:t>
      </w:r>
      <w:r w:rsidR="00152450">
        <w:rPr>
          <w:rFonts w:ascii="Arial" w:eastAsia="Calibri" w:hAnsi="Arial" w:cs="Arial"/>
          <w:sz w:val="20"/>
          <w:szCs w:val="20"/>
          <w:lang w:eastAsia="en-US"/>
        </w:rPr>
        <w:t xml:space="preserve">i </w:t>
      </w:r>
      <w:r w:rsidR="00152450" w:rsidRPr="00152450">
        <w:rPr>
          <w:rFonts w:ascii="Arial" w:eastAsia="Calibri" w:hAnsi="Arial" w:cs="Arial"/>
          <w:sz w:val="20"/>
          <w:szCs w:val="20"/>
          <w:lang w:eastAsia="en-US"/>
        </w:rPr>
        <w:t>graduatorie in corso di validità da parte dell’Azienda sono subordinati all’equivalenza dei profili mess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i a concorso con la categoria, </w:t>
      </w:r>
      <w:r w:rsidR="00152450" w:rsidRPr="00152450">
        <w:rPr>
          <w:rFonts w:ascii="Arial" w:eastAsia="Calibri" w:hAnsi="Arial" w:cs="Arial"/>
          <w:sz w:val="20"/>
          <w:szCs w:val="20"/>
          <w:lang w:eastAsia="en-US"/>
        </w:rPr>
        <w:t xml:space="preserve">profilo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professionale </w:t>
      </w:r>
      <w:r w:rsidR="00152450" w:rsidRPr="00152450">
        <w:rPr>
          <w:rFonts w:ascii="Arial" w:eastAsia="Calibri" w:hAnsi="Arial" w:cs="Arial"/>
          <w:sz w:val="20"/>
          <w:szCs w:val="20"/>
          <w:lang w:eastAsia="en-US"/>
        </w:rPr>
        <w:t xml:space="preserve">e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competenze </w:t>
      </w:r>
      <w:r w:rsidR="00152450" w:rsidRPr="00152450">
        <w:rPr>
          <w:rFonts w:ascii="Arial" w:eastAsia="Calibri" w:hAnsi="Arial" w:cs="Arial"/>
          <w:sz w:val="20"/>
          <w:szCs w:val="20"/>
          <w:lang w:eastAsia="en-US"/>
        </w:rPr>
        <w:t>richiesti al personale aziendale per la medesima c</w:t>
      </w:r>
      <w:r w:rsidR="00056A3C">
        <w:rPr>
          <w:rFonts w:ascii="Arial" w:eastAsia="Calibri" w:hAnsi="Arial" w:cs="Arial"/>
          <w:sz w:val="20"/>
          <w:szCs w:val="20"/>
          <w:lang w:eastAsia="en-US"/>
        </w:rPr>
        <w:t>ategoria e profilo professionale</w:t>
      </w:r>
      <w:r w:rsidR="00152450" w:rsidRPr="00152450">
        <w:rPr>
          <w:rFonts w:ascii="Arial" w:eastAsia="Calibri" w:hAnsi="Arial" w:cs="Arial"/>
          <w:sz w:val="20"/>
          <w:szCs w:val="20"/>
          <w:lang w:eastAsia="en-US"/>
        </w:rPr>
        <w:t>, secondo quanto previsto dal CCRL vigente</w:t>
      </w:r>
      <w:r w:rsidR="00152450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152450" w:rsidRP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>2. Fermo quanto previsto dal comma 1, i titolari di graduatorie in corso di validità saranno individuati, anche con ricerche autonomamente svolte dall’Azienda, secondo le seguenti priorità:</w:t>
      </w:r>
    </w:p>
    <w:p w:rsidR="00152450" w:rsidRP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>a) enti il cui personale appartiene al ruolo unico di contrattazione regionale;</w:t>
      </w:r>
    </w:p>
    <w:p w:rsidR="00152450" w:rsidRP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>b) enti afferenti al sistema Regione di cui all’art. 1, comma 2 bis, L.R. n. 31/1998;</w:t>
      </w:r>
    </w:p>
    <w:p w:rsidR="00152450" w:rsidRP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>c) enti non appartenenti al sistema Regione ma facenti parte del sistema dell’amministrazione pubblica della Sardegna ai sensi dell’art. 1, comma 2 ter, L.R. n. 31/1998.</w:t>
      </w:r>
    </w:p>
    <w:p w:rsidR="00152450" w:rsidRP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52450" w:rsidRPr="00152450" w:rsidRDefault="00152450" w:rsidP="00152450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b/>
          <w:sz w:val="20"/>
          <w:szCs w:val="20"/>
          <w:lang w:eastAsia="en-US"/>
        </w:rPr>
        <w:t>Art. 2</w:t>
      </w:r>
    </w:p>
    <w:p w:rsidR="00152450" w:rsidRPr="00152450" w:rsidRDefault="00152450" w:rsidP="00152450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b/>
          <w:sz w:val="20"/>
          <w:szCs w:val="20"/>
          <w:lang w:eastAsia="en-US"/>
        </w:rPr>
        <w:t>(Accordi con i singoli enti e criteri per la modalità di scorrimento)</w:t>
      </w:r>
    </w:p>
    <w:p w:rsidR="00152450" w:rsidRP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>1. Individuata la graduatoria in corso di validità da cui attingere, l’Azienda propone all’ente titolare della suddetta graduatoria un accordo p</w:t>
      </w:r>
      <w:r w:rsidR="00056A3C">
        <w:rPr>
          <w:rFonts w:ascii="Arial" w:eastAsia="Calibri" w:hAnsi="Arial" w:cs="Arial"/>
          <w:sz w:val="20"/>
          <w:szCs w:val="20"/>
          <w:lang w:eastAsia="en-US"/>
        </w:rPr>
        <w:t>er la cessione della medesima</w:t>
      </w:r>
      <w:r w:rsidRPr="00152450">
        <w:rPr>
          <w:rFonts w:ascii="Arial" w:eastAsia="Calibri" w:hAnsi="Arial" w:cs="Arial"/>
          <w:sz w:val="20"/>
          <w:szCs w:val="20"/>
          <w:lang w:eastAsia="en-US"/>
        </w:rPr>
        <w:t xml:space="preserve"> ai sensi dell’art. 15 della legge n. 241/1990</w:t>
      </w:r>
      <w:r w:rsidR="00C4448C">
        <w:rPr>
          <w:rFonts w:ascii="Arial" w:eastAsia="Calibri" w:hAnsi="Arial" w:cs="Arial"/>
          <w:sz w:val="20"/>
          <w:szCs w:val="20"/>
          <w:lang w:eastAsia="en-US"/>
        </w:rPr>
        <w:t>, limitatamente al numero dei posti prefissati dall’Azienda</w:t>
      </w:r>
      <w:r w:rsidRPr="00152450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152450" w:rsidRP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>2. L’accordo di cui al comma 1 individua, in particolare:</w:t>
      </w:r>
    </w:p>
    <w:p w:rsidR="00056A3C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>a) il numero dei posti per il quale è previsto lo scorrimento</w:t>
      </w:r>
      <w:r w:rsidR="00C4448C">
        <w:rPr>
          <w:rFonts w:ascii="Arial" w:eastAsia="Calibri" w:hAnsi="Arial" w:cs="Arial"/>
          <w:sz w:val="20"/>
          <w:szCs w:val="20"/>
          <w:lang w:eastAsia="en-US"/>
        </w:rPr>
        <w:t xml:space="preserve"> e la posizione a partire dalla quale </w:t>
      </w:r>
      <w:r w:rsidR="00056A3C">
        <w:rPr>
          <w:rFonts w:ascii="Arial" w:eastAsia="Calibri" w:hAnsi="Arial" w:cs="Arial"/>
          <w:sz w:val="20"/>
          <w:szCs w:val="20"/>
          <w:lang w:eastAsia="en-US"/>
        </w:rPr>
        <w:t>il medesimo è disposto;</w:t>
      </w:r>
    </w:p>
    <w:p w:rsidR="00152450" w:rsidRPr="00152450" w:rsidRDefault="00056A3C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b) le modalità di chiamata</w:t>
      </w:r>
      <w:r w:rsidR="00152450" w:rsidRPr="00152450">
        <w:rPr>
          <w:rFonts w:ascii="Arial" w:eastAsia="Calibri" w:hAnsi="Arial" w:cs="Arial"/>
          <w:sz w:val="20"/>
          <w:szCs w:val="20"/>
          <w:lang w:eastAsia="en-US"/>
        </w:rPr>
        <w:t xml:space="preserve"> dei candidati, che deve rispettare l’ordine progressivo degli idonei in graduatorie;</w:t>
      </w:r>
    </w:p>
    <w:p w:rsidR="00152450" w:rsidRP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lastRenderedPageBreak/>
        <w:t>c) gli eventuali ulteriori scorrimenti in caso di rifiuto all’assunzione da parte dei candidati utilmente collocati, anche con riferimento al rifiuto della sede di prima destinazione;</w:t>
      </w:r>
    </w:p>
    <w:p w:rsidR="00152450" w:rsidRP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>d) le modalità di verifica dei requisiti di ammissione previsti dal relativo bando;</w:t>
      </w:r>
    </w:p>
    <w:p w:rsidR="00C4448C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 xml:space="preserve">e) la dichiarazione, da parte dell’ente titolare, che sulla graduatoria </w:t>
      </w:r>
      <w:r w:rsidR="00C4448C">
        <w:rPr>
          <w:rFonts w:ascii="Arial" w:eastAsia="Calibri" w:hAnsi="Arial" w:cs="Arial"/>
          <w:sz w:val="20"/>
          <w:szCs w:val="20"/>
          <w:lang w:eastAsia="en-US"/>
        </w:rPr>
        <w:t>non vi sono contenziosi.</w:t>
      </w:r>
    </w:p>
    <w:p w:rsid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 xml:space="preserve">3. </w:t>
      </w:r>
      <w:r w:rsidR="00C4448C">
        <w:rPr>
          <w:rFonts w:ascii="Arial" w:eastAsia="Calibri" w:hAnsi="Arial" w:cs="Arial"/>
          <w:sz w:val="20"/>
          <w:szCs w:val="20"/>
          <w:lang w:eastAsia="en-US"/>
        </w:rPr>
        <w:t>L’Azienda provvede all’interpello dei candidati utilmente collocati nella graduatoria secondo l’ordine progre</w:t>
      </w:r>
      <w:r w:rsidR="001A60F5">
        <w:rPr>
          <w:rFonts w:ascii="Arial" w:eastAsia="Calibri" w:hAnsi="Arial" w:cs="Arial"/>
          <w:sz w:val="20"/>
          <w:szCs w:val="20"/>
          <w:lang w:eastAsia="en-US"/>
        </w:rPr>
        <w:t>ssivo stabilito dalla medesima</w:t>
      </w:r>
      <w:r w:rsidR="00C4448C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C4448C" w:rsidRDefault="00C4448C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4. Contestualmente o successivamente all’acquisizione della comunicazione di disponibilità all’assunzione, l’Azienda comunica ai candidati le sedi di prima destinazione ai sensi dell’art. 54, comma 6, della L.R. n. 31/1998. A tal fine, è concessa priorità di scelta tra le sedi indicate:</w:t>
      </w:r>
    </w:p>
    <w:p w:rsidR="00C4448C" w:rsidRPr="00152450" w:rsidRDefault="00C4448C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a) ai candidati che si trovino nella condizioni di cui all’</w:t>
      </w:r>
      <w:r w:rsidR="001A60F5">
        <w:rPr>
          <w:rFonts w:ascii="Arial" w:eastAsia="Calibri" w:hAnsi="Arial" w:cs="Arial"/>
          <w:sz w:val="20"/>
          <w:szCs w:val="20"/>
          <w:lang w:eastAsia="en-US"/>
        </w:rPr>
        <w:t>art. 33, comma 5, L. n. 104/199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="00B37564">
        <w:rPr>
          <w:rFonts w:ascii="Arial" w:eastAsia="Calibri" w:hAnsi="Arial" w:cs="Arial"/>
          <w:sz w:val="20"/>
          <w:szCs w:val="20"/>
          <w:lang w:eastAsia="en-US"/>
        </w:rPr>
        <w:t>;</w:t>
      </w:r>
    </w:p>
    <w:p w:rsid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>b) sec</w:t>
      </w:r>
      <w:r w:rsidR="001A60F5">
        <w:rPr>
          <w:rFonts w:ascii="Arial" w:eastAsia="Calibri" w:hAnsi="Arial" w:cs="Arial"/>
          <w:sz w:val="20"/>
          <w:szCs w:val="20"/>
          <w:lang w:eastAsia="en-US"/>
        </w:rPr>
        <w:t>ondo l’ordine della graduatoria;</w:t>
      </w:r>
    </w:p>
    <w:p w:rsidR="001A60F5" w:rsidRPr="00152450" w:rsidRDefault="001A60F5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c) a parità di condizioni, la priorità è concessa ai candidati con più elevato carico famigliare. In caso di ulterior</w:t>
      </w:r>
      <w:r w:rsidR="0036795E">
        <w:rPr>
          <w:rFonts w:ascii="Arial" w:eastAsia="Calibri" w:hAnsi="Arial" w:cs="Arial"/>
          <w:sz w:val="20"/>
          <w:szCs w:val="20"/>
          <w:lang w:eastAsia="en-US"/>
        </w:rPr>
        <w:t>e parità, la priorità è concessa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al candidato più anziano d’età.</w:t>
      </w:r>
    </w:p>
    <w:p w:rsidR="00152450" w:rsidRP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 xml:space="preserve">5. </w:t>
      </w:r>
      <w:r w:rsidR="00B37564">
        <w:rPr>
          <w:rFonts w:ascii="Arial" w:eastAsia="Calibri" w:hAnsi="Arial" w:cs="Arial"/>
          <w:sz w:val="20"/>
          <w:szCs w:val="20"/>
          <w:lang w:eastAsia="en-US"/>
        </w:rPr>
        <w:t xml:space="preserve">Il rifiuto, </w:t>
      </w:r>
      <w:r w:rsidR="00056A3C">
        <w:rPr>
          <w:rFonts w:ascii="Arial" w:eastAsia="Calibri" w:hAnsi="Arial" w:cs="Arial"/>
          <w:sz w:val="20"/>
          <w:szCs w:val="20"/>
          <w:lang w:eastAsia="en-US"/>
        </w:rPr>
        <w:t>espresso</w:t>
      </w:r>
      <w:r w:rsidR="00B37564">
        <w:rPr>
          <w:rFonts w:ascii="Arial" w:eastAsia="Calibri" w:hAnsi="Arial" w:cs="Arial"/>
          <w:sz w:val="20"/>
          <w:szCs w:val="20"/>
          <w:lang w:eastAsia="en-US"/>
        </w:rPr>
        <w:t xml:space="preserve"> o per fatti concludenti</w:t>
      </w:r>
      <w:r w:rsidR="00056A3C">
        <w:rPr>
          <w:rFonts w:ascii="Arial" w:eastAsia="Calibri" w:hAnsi="Arial" w:cs="Arial"/>
          <w:sz w:val="20"/>
          <w:szCs w:val="20"/>
          <w:lang w:eastAsia="en-US"/>
        </w:rPr>
        <w:t>, alla</w:t>
      </w:r>
      <w:r w:rsidRPr="00152450">
        <w:rPr>
          <w:rFonts w:ascii="Arial" w:eastAsia="Calibri" w:hAnsi="Arial" w:cs="Arial"/>
          <w:sz w:val="20"/>
          <w:szCs w:val="20"/>
          <w:lang w:eastAsia="en-US"/>
        </w:rPr>
        <w:t xml:space="preserve"> comunicazione della sede di prima destinazione equivale al rifiuto all’assunzione in Area. In tal caso, l’Azienda scorre ulteriormente la graduatoria</w:t>
      </w:r>
      <w:r w:rsidR="001A60F5">
        <w:rPr>
          <w:rFonts w:ascii="Arial" w:eastAsia="Calibri" w:hAnsi="Arial" w:cs="Arial"/>
          <w:sz w:val="20"/>
          <w:szCs w:val="20"/>
          <w:lang w:eastAsia="en-US"/>
        </w:rPr>
        <w:t xml:space="preserve"> secondo la procedura di cui ai commi 3 e 4</w:t>
      </w:r>
      <w:r w:rsidRPr="00152450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152450" w:rsidRP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52450" w:rsidRPr="00152450" w:rsidRDefault="00152450" w:rsidP="00152450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b/>
          <w:sz w:val="20"/>
          <w:szCs w:val="20"/>
          <w:lang w:eastAsia="en-US"/>
        </w:rPr>
        <w:t>Art. 3</w:t>
      </w:r>
    </w:p>
    <w:p w:rsidR="00152450" w:rsidRPr="00152450" w:rsidRDefault="00152450" w:rsidP="00152450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b/>
          <w:sz w:val="20"/>
          <w:szCs w:val="20"/>
          <w:lang w:eastAsia="en-US"/>
        </w:rPr>
        <w:t>(Verifiche di rito e inquadramento in ruolo)</w:t>
      </w:r>
    </w:p>
    <w:p w:rsidR="00152450" w:rsidRP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 xml:space="preserve">1. Terminata la fase procedurale di cui all’art. 2, L’Azienda o l’ente titolare della graduatoria provvedono alle verifiche </w:t>
      </w:r>
      <w:proofErr w:type="spellStart"/>
      <w:r w:rsidRPr="00152450">
        <w:rPr>
          <w:rFonts w:ascii="Arial" w:eastAsia="Calibri" w:hAnsi="Arial" w:cs="Arial"/>
          <w:sz w:val="20"/>
          <w:szCs w:val="20"/>
          <w:lang w:eastAsia="en-US"/>
        </w:rPr>
        <w:t>preassunzionali</w:t>
      </w:r>
      <w:proofErr w:type="spellEnd"/>
      <w:r w:rsidRPr="00152450">
        <w:rPr>
          <w:rFonts w:ascii="Arial" w:eastAsia="Calibri" w:hAnsi="Arial" w:cs="Arial"/>
          <w:sz w:val="20"/>
          <w:szCs w:val="20"/>
          <w:lang w:eastAsia="en-US"/>
        </w:rPr>
        <w:t xml:space="preserve"> secondo quanto previsto dall’accordo di cui all’art. </w:t>
      </w:r>
      <w:r w:rsidR="001A60F5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152450">
        <w:rPr>
          <w:rFonts w:ascii="Arial" w:eastAsia="Calibri" w:hAnsi="Arial" w:cs="Arial"/>
          <w:sz w:val="20"/>
          <w:szCs w:val="20"/>
          <w:lang w:eastAsia="en-US"/>
        </w:rPr>
        <w:t xml:space="preserve">, comma 2, </w:t>
      </w:r>
      <w:proofErr w:type="spellStart"/>
      <w:r w:rsidRPr="00152450">
        <w:rPr>
          <w:rFonts w:ascii="Arial" w:eastAsia="Calibri" w:hAnsi="Arial" w:cs="Arial"/>
          <w:sz w:val="20"/>
          <w:szCs w:val="20"/>
          <w:lang w:eastAsia="en-US"/>
        </w:rPr>
        <w:t>lett</w:t>
      </w:r>
      <w:proofErr w:type="spellEnd"/>
      <w:r w:rsidRPr="00152450">
        <w:rPr>
          <w:rFonts w:ascii="Arial" w:eastAsia="Calibri" w:hAnsi="Arial" w:cs="Arial"/>
          <w:sz w:val="20"/>
          <w:szCs w:val="20"/>
          <w:lang w:eastAsia="en-US"/>
        </w:rPr>
        <w:t>. e).</w:t>
      </w:r>
    </w:p>
    <w:p w:rsidR="00152450" w:rsidRP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>2. L’inquadramento nei ruoli dell’Azienda avviene mediante stipulazione del contratto individuale di lavoro.</w:t>
      </w:r>
    </w:p>
    <w:p w:rsidR="00152450" w:rsidRP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 xml:space="preserve">3. Sono fatti salvi, in ogni caso, i vincoli </w:t>
      </w:r>
      <w:proofErr w:type="spellStart"/>
      <w:r w:rsidRPr="00152450">
        <w:rPr>
          <w:rFonts w:ascii="Arial" w:eastAsia="Calibri" w:hAnsi="Arial" w:cs="Arial"/>
          <w:sz w:val="20"/>
          <w:szCs w:val="20"/>
          <w:lang w:eastAsia="en-US"/>
        </w:rPr>
        <w:t>assunzionali</w:t>
      </w:r>
      <w:proofErr w:type="spellEnd"/>
      <w:r w:rsidR="001A60F5">
        <w:rPr>
          <w:rFonts w:ascii="Arial" w:eastAsia="Calibri" w:hAnsi="Arial" w:cs="Arial"/>
          <w:sz w:val="20"/>
          <w:szCs w:val="20"/>
          <w:lang w:eastAsia="en-US"/>
        </w:rPr>
        <w:t xml:space="preserve"> a carico dell’Azienda. Nell’ipotesi </w:t>
      </w:r>
      <w:r w:rsidRPr="00152450">
        <w:rPr>
          <w:rFonts w:ascii="Arial" w:eastAsia="Calibri" w:hAnsi="Arial" w:cs="Arial"/>
          <w:sz w:val="20"/>
          <w:szCs w:val="20"/>
          <w:lang w:eastAsia="en-US"/>
        </w:rPr>
        <w:t>di persistenza di tali vincoli, l’Azienda può acquisire la disponibilità all’assunzione con l’indicazione della data presunta dell’assunzione.</w:t>
      </w:r>
    </w:p>
    <w:p w:rsidR="00152450" w:rsidRDefault="00152450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2450">
        <w:rPr>
          <w:rFonts w:ascii="Arial" w:eastAsia="Calibri" w:hAnsi="Arial" w:cs="Arial"/>
          <w:sz w:val="20"/>
          <w:szCs w:val="20"/>
          <w:lang w:eastAsia="en-US"/>
        </w:rPr>
        <w:t>4. La spesa grava sul capitolo 10201.0035  - “Fondo reclutamento” del bilancio di previsione 2022-2024, così c</w:t>
      </w:r>
      <w:r w:rsidR="00B37564">
        <w:rPr>
          <w:rFonts w:ascii="Arial" w:eastAsia="Calibri" w:hAnsi="Arial" w:cs="Arial"/>
          <w:sz w:val="20"/>
          <w:szCs w:val="20"/>
          <w:lang w:eastAsia="en-US"/>
        </w:rPr>
        <w:t>ome previsto dal PTFP 2022-2024.</w:t>
      </w:r>
    </w:p>
    <w:p w:rsidR="00B37564" w:rsidRDefault="00B37564" w:rsidP="00152450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B37564" w:rsidRDefault="00B37564" w:rsidP="00B37564">
      <w:pPr>
        <w:suppressAutoHyphens w:val="0"/>
        <w:spacing w:line="36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Art. 4</w:t>
      </w:r>
    </w:p>
    <w:p w:rsidR="00B37564" w:rsidRDefault="00B37564" w:rsidP="00B37564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37564">
        <w:rPr>
          <w:rFonts w:ascii="Arial" w:eastAsia="Calibri" w:hAnsi="Arial" w:cs="Arial"/>
          <w:b/>
          <w:sz w:val="20"/>
          <w:szCs w:val="20"/>
          <w:lang w:eastAsia="en-US"/>
        </w:rPr>
        <w:t>(Diposizione di rinvio)</w:t>
      </w:r>
    </w:p>
    <w:p w:rsidR="00B37564" w:rsidRPr="00152450" w:rsidRDefault="00B37564" w:rsidP="00B37564">
      <w:pPr>
        <w:suppressAutoHyphens w:val="0"/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B37564">
        <w:rPr>
          <w:rFonts w:ascii="Arial" w:eastAsia="Calibri" w:hAnsi="Arial" w:cs="Arial"/>
          <w:sz w:val="20"/>
          <w:szCs w:val="20"/>
          <w:lang w:eastAsia="en-US"/>
        </w:rPr>
        <w:t>1.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Per quanto non previsto dal presente provvedimento, si rinvia alla disciplina nazionale e regionale in materia.</w:t>
      </w:r>
    </w:p>
    <w:p w:rsidR="00E45288" w:rsidRPr="00B37564" w:rsidRDefault="00E45288" w:rsidP="00F46B4C">
      <w:pPr>
        <w:tabs>
          <w:tab w:val="left" w:pos="-15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center" w:pos="4677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072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  <w:tab w:val="left" w:pos="24000"/>
          <w:tab w:val="left" w:pos="24600"/>
          <w:tab w:val="left" w:pos="25200"/>
          <w:tab w:val="left" w:pos="25800"/>
          <w:tab w:val="left" w:pos="26400"/>
          <w:tab w:val="left" w:pos="27000"/>
          <w:tab w:val="left" w:pos="27600"/>
          <w:tab w:val="left" w:pos="28200"/>
          <w:tab w:val="left" w:pos="2880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-2"/>
        <w:jc w:val="both"/>
        <w:textAlignment w:val="baseline"/>
        <w:rPr>
          <w:rFonts w:ascii="Arial" w:hAnsi="Arial" w:cs="Arial"/>
          <w:sz w:val="20"/>
          <w:szCs w:val="20"/>
          <w:lang w:eastAsia="it-IT"/>
        </w:rPr>
      </w:pPr>
      <w:r w:rsidRPr="00152450">
        <w:rPr>
          <w:rFonts w:ascii="Arial" w:hAnsi="Arial" w:cs="Arial"/>
          <w:sz w:val="20"/>
          <w:szCs w:val="20"/>
          <w:lang w:eastAsia="it-IT"/>
        </w:rPr>
        <w:t xml:space="preserve"> </w:t>
      </w:r>
    </w:p>
    <w:sectPr w:rsidR="00E45288" w:rsidRPr="00B3756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04" w:rsidRDefault="009D3404" w:rsidP="005408BB">
      <w:r>
        <w:separator/>
      </w:r>
    </w:p>
  </w:endnote>
  <w:endnote w:type="continuationSeparator" w:id="0">
    <w:p w:rsidR="009D3404" w:rsidRDefault="009D3404" w:rsidP="005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EC" w:rsidRPr="005408BB" w:rsidRDefault="009434EC" w:rsidP="009434EC">
    <w:pPr>
      <w:tabs>
        <w:tab w:val="left" w:pos="690"/>
        <w:tab w:val="center" w:pos="4819"/>
        <w:tab w:val="right" w:pos="9638"/>
      </w:tabs>
      <w:suppressAutoHyphens w:val="0"/>
      <w:rPr>
        <w:rFonts w:eastAsia="Calibri"/>
        <w:sz w:val="20"/>
        <w:szCs w:val="20"/>
        <w:lang w:eastAsia="en-US"/>
      </w:rPr>
    </w:pPr>
    <w:r w:rsidRPr="005408BB">
      <w:rPr>
        <w:rFonts w:eastAsia="Calibri"/>
        <w:sz w:val="20"/>
        <w:szCs w:val="20"/>
        <w:lang w:eastAsia="en-US"/>
      </w:rPr>
      <w:t>__________________________________________________________________________________________</w:t>
    </w:r>
  </w:p>
  <w:p w:rsidR="009434EC" w:rsidRPr="005408BB" w:rsidRDefault="009434EC" w:rsidP="009434EC">
    <w:pPr>
      <w:tabs>
        <w:tab w:val="left" w:pos="690"/>
        <w:tab w:val="center" w:pos="4819"/>
        <w:tab w:val="left" w:pos="6935"/>
      </w:tabs>
      <w:suppressAutoHyphens w:val="0"/>
      <w:rPr>
        <w:rFonts w:eastAsia="Calibri"/>
        <w:sz w:val="16"/>
        <w:szCs w:val="16"/>
        <w:lang w:eastAsia="en-US"/>
      </w:rPr>
    </w:pPr>
    <w:r w:rsidRPr="005408BB">
      <w:rPr>
        <w:rFonts w:eastAsia="Calibri"/>
        <w:sz w:val="20"/>
        <w:szCs w:val="20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  <w:r w:rsidRPr="005408BB">
      <w:rPr>
        <w:rFonts w:eastAsia="Calibri"/>
        <w:sz w:val="16"/>
        <w:szCs w:val="16"/>
        <w:lang w:eastAsia="en-US"/>
      </w:rPr>
      <w:tab/>
    </w:r>
  </w:p>
  <w:p w:rsidR="00131125" w:rsidRPr="00131125" w:rsidRDefault="00131125" w:rsidP="00131125">
    <w:pPr>
      <w:tabs>
        <w:tab w:val="center" w:pos="4819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r w:rsidRPr="00131125">
      <w:rPr>
        <w:rFonts w:ascii="Arial" w:hAnsi="Arial" w:cs="Arial"/>
        <w:b/>
        <w:sz w:val="16"/>
        <w:szCs w:val="18"/>
        <w:lang w:eastAsia="it-IT"/>
      </w:rPr>
      <w:t>Sede Legale</w:t>
    </w:r>
    <w:r w:rsidRPr="00131125">
      <w:rPr>
        <w:rFonts w:ascii="Arial" w:hAnsi="Arial" w:cs="Arial"/>
        <w:sz w:val="16"/>
        <w:szCs w:val="18"/>
        <w:lang w:eastAsia="it-IT"/>
      </w:rPr>
      <w:t xml:space="preserve"> Via Cesare Battisti 6 </w:t>
    </w:r>
    <w:r w:rsidRPr="00131125">
      <w:rPr>
        <w:rFonts w:ascii="Arial" w:hAnsi="Arial" w:cs="Arial"/>
        <w:b/>
        <w:sz w:val="16"/>
        <w:szCs w:val="18"/>
        <w:lang w:eastAsia="it-IT"/>
      </w:rPr>
      <w:t>∙</w:t>
    </w:r>
    <w:r w:rsidRPr="00131125">
      <w:rPr>
        <w:rFonts w:ascii="Arial" w:hAnsi="Arial" w:cs="Arial"/>
        <w:sz w:val="16"/>
        <w:szCs w:val="18"/>
        <w:lang w:eastAsia="it-IT"/>
      </w:rPr>
      <w:t xml:space="preserve"> 09123 Cagliari - Tel.+39 070 20071 – fax +39 070 271066 </w:t>
    </w:r>
    <w:r w:rsidRPr="00131125">
      <w:rPr>
        <w:rFonts w:ascii="Arial" w:hAnsi="Arial" w:cs="Arial"/>
        <w:sz w:val="16"/>
        <w:lang w:val="fr-FR" w:eastAsia="it-IT"/>
      </w:rPr>
      <w:t>- P.I. 03077790925</w:t>
    </w:r>
  </w:p>
  <w:p w:rsidR="00131125" w:rsidRPr="00131125" w:rsidRDefault="009D3404" w:rsidP="00131125">
    <w:pPr>
      <w:tabs>
        <w:tab w:val="center" w:pos="4355"/>
        <w:tab w:val="center" w:pos="4819"/>
        <w:tab w:val="right" w:pos="8710"/>
        <w:tab w:val="right" w:pos="9638"/>
      </w:tabs>
      <w:suppressAutoHyphens w:val="0"/>
      <w:ind w:right="360"/>
      <w:jc w:val="center"/>
      <w:rPr>
        <w:rFonts w:ascii="Arial" w:hAnsi="Arial" w:cs="Arial"/>
        <w:sz w:val="16"/>
        <w:lang w:val="fr-FR" w:eastAsia="it-IT"/>
      </w:rPr>
    </w:pPr>
    <w:hyperlink r:id="rId1" w:history="1">
      <w:r w:rsidR="00131125" w:rsidRPr="00131125">
        <w:rPr>
          <w:rFonts w:ascii="Arial" w:hAnsi="Arial" w:cs="Arial"/>
          <w:sz w:val="16"/>
          <w:lang w:eastAsia="it-IT"/>
        </w:rPr>
        <w:t>www.area.sardegna.it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e- mail </w:t>
    </w:r>
    <w:hyperlink r:id="rId2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area@area.sardegna.it</w:t>
      </w:r>
    </w:hyperlink>
    <w:r w:rsidR="00131125" w:rsidRPr="00131125">
      <w:rPr>
        <w:rFonts w:ascii="Arial" w:hAnsi="Arial" w:cs="Arial"/>
        <w:sz w:val="16"/>
        <w:lang w:val="fr-FR" w:eastAsia="it-IT"/>
      </w:rPr>
      <w:t xml:space="preserve"> – pec </w:t>
    </w:r>
    <w:hyperlink r:id="rId3" w:history="1">
      <w:r w:rsidR="00131125" w:rsidRPr="00131125">
        <w:rPr>
          <w:rFonts w:ascii="Arial" w:hAnsi="Arial" w:cs="Arial"/>
          <w:color w:val="0000FF"/>
          <w:sz w:val="16"/>
          <w:u w:val="single"/>
          <w:lang w:val="fr-FR" w:eastAsia="it-IT"/>
        </w:rPr>
        <w:t>area@pec.area.sardegna.it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04" w:rsidRDefault="009D3404" w:rsidP="005408BB">
      <w:r>
        <w:separator/>
      </w:r>
    </w:p>
  </w:footnote>
  <w:footnote w:type="continuationSeparator" w:id="0">
    <w:p w:rsidR="009D3404" w:rsidRDefault="009D3404" w:rsidP="0054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8BB" w:rsidRPr="005408BB" w:rsidRDefault="001E4B6B" w:rsidP="005408BB">
    <w:pPr>
      <w:tabs>
        <w:tab w:val="center" w:pos="4819"/>
        <w:tab w:val="right" w:pos="9638"/>
      </w:tabs>
      <w:jc w:val="center"/>
    </w:pPr>
    <w:r>
      <w:rPr>
        <w:noProof/>
        <w:lang w:eastAsia="it-IT"/>
      </w:rPr>
      <w:drawing>
        <wp:inline distT="0" distB="0" distL="0" distR="0" wp14:anchorId="7BE236D5">
          <wp:extent cx="2390775" cy="11144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890"/>
    <w:multiLevelType w:val="multilevel"/>
    <w:tmpl w:val="B7DC020C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>
    <w:nsid w:val="15732320"/>
    <w:multiLevelType w:val="hybridMultilevel"/>
    <w:tmpl w:val="93547040"/>
    <w:lvl w:ilvl="0" w:tplc="B720B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680D47"/>
    <w:multiLevelType w:val="hybridMultilevel"/>
    <w:tmpl w:val="E6C811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25542"/>
    <w:multiLevelType w:val="hybridMultilevel"/>
    <w:tmpl w:val="F98065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8031F"/>
    <w:multiLevelType w:val="hybridMultilevel"/>
    <w:tmpl w:val="429A5F1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A4040"/>
    <w:multiLevelType w:val="multilevel"/>
    <w:tmpl w:val="53DCB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27FF1BA2"/>
    <w:multiLevelType w:val="hybridMultilevel"/>
    <w:tmpl w:val="BB0C50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854BF"/>
    <w:multiLevelType w:val="hybridMultilevel"/>
    <w:tmpl w:val="D44601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C5368"/>
    <w:multiLevelType w:val="hybridMultilevel"/>
    <w:tmpl w:val="EA9AD3F4"/>
    <w:lvl w:ilvl="0" w:tplc="EBB29750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9721C0"/>
    <w:multiLevelType w:val="hybridMultilevel"/>
    <w:tmpl w:val="EC8655BA"/>
    <w:lvl w:ilvl="0" w:tplc="775EE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70845"/>
    <w:multiLevelType w:val="multilevel"/>
    <w:tmpl w:val="BEBCD6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>
    <w:nsid w:val="361D44F6"/>
    <w:multiLevelType w:val="hybridMultilevel"/>
    <w:tmpl w:val="7430DBDE"/>
    <w:lvl w:ilvl="0" w:tplc="B720B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880751"/>
    <w:multiLevelType w:val="hybridMultilevel"/>
    <w:tmpl w:val="A65A4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97DB0"/>
    <w:multiLevelType w:val="hybridMultilevel"/>
    <w:tmpl w:val="8864F8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D08CE"/>
    <w:multiLevelType w:val="hybridMultilevel"/>
    <w:tmpl w:val="F64EC104"/>
    <w:lvl w:ilvl="0" w:tplc="B720B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9B55D9"/>
    <w:multiLevelType w:val="hybridMultilevel"/>
    <w:tmpl w:val="6908E7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ED134B"/>
    <w:multiLevelType w:val="hybridMultilevel"/>
    <w:tmpl w:val="D0F269D2"/>
    <w:lvl w:ilvl="0" w:tplc="A594B25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79EC3747"/>
    <w:multiLevelType w:val="hybridMultilevel"/>
    <w:tmpl w:val="BEEA99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32A91"/>
    <w:multiLevelType w:val="hybridMultilevel"/>
    <w:tmpl w:val="326CD5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13"/>
  </w:num>
  <w:num w:numId="5">
    <w:abstractNumId w:val="15"/>
  </w:num>
  <w:num w:numId="6">
    <w:abstractNumId w:val="18"/>
  </w:num>
  <w:num w:numId="7">
    <w:abstractNumId w:val="6"/>
  </w:num>
  <w:num w:numId="8">
    <w:abstractNumId w:val="8"/>
  </w:num>
  <w:num w:numId="9">
    <w:abstractNumId w:val="11"/>
  </w:num>
  <w:num w:numId="10">
    <w:abstractNumId w:val="2"/>
  </w:num>
  <w:num w:numId="11">
    <w:abstractNumId w:val="9"/>
  </w:num>
  <w:num w:numId="12">
    <w:abstractNumId w:val="14"/>
  </w:num>
  <w:num w:numId="13">
    <w:abstractNumId w:val="0"/>
  </w:num>
  <w:num w:numId="14">
    <w:abstractNumId w:val="1"/>
  </w:num>
  <w:num w:numId="15">
    <w:abstractNumId w:val="5"/>
  </w:num>
  <w:num w:numId="16">
    <w:abstractNumId w:val="10"/>
  </w:num>
  <w:num w:numId="17">
    <w:abstractNumId w:val="12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BB"/>
    <w:rsid w:val="0000039D"/>
    <w:rsid w:val="00002B3F"/>
    <w:rsid w:val="00002FA1"/>
    <w:rsid w:val="00012C98"/>
    <w:rsid w:val="00031585"/>
    <w:rsid w:val="000350D5"/>
    <w:rsid w:val="00043278"/>
    <w:rsid w:val="00056A3C"/>
    <w:rsid w:val="00065798"/>
    <w:rsid w:val="00066F3B"/>
    <w:rsid w:val="0006714C"/>
    <w:rsid w:val="0006737A"/>
    <w:rsid w:val="0008522C"/>
    <w:rsid w:val="000871D6"/>
    <w:rsid w:val="00096D98"/>
    <w:rsid w:val="000A166F"/>
    <w:rsid w:val="000A4162"/>
    <w:rsid w:val="000C5955"/>
    <w:rsid w:val="000C7C86"/>
    <w:rsid w:val="000D3194"/>
    <w:rsid w:val="000D69B8"/>
    <w:rsid w:val="000D7622"/>
    <w:rsid w:val="000E1AAA"/>
    <w:rsid w:val="000E48B7"/>
    <w:rsid w:val="000E5AC2"/>
    <w:rsid w:val="000F6DDC"/>
    <w:rsid w:val="000F766C"/>
    <w:rsid w:val="000F7EBF"/>
    <w:rsid w:val="00107062"/>
    <w:rsid w:val="00131125"/>
    <w:rsid w:val="001352AF"/>
    <w:rsid w:val="00146429"/>
    <w:rsid w:val="00151761"/>
    <w:rsid w:val="00152450"/>
    <w:rsid w:val="0015680E"/>
    <w:rsid w:val="00165755"/>
    <w:rsid w:val="001660DA"/>
    <w:rsid w:val="00170565"/>
    <w:rsid w:val="00172DDC"/>
    <w:rsid w:val="00174BB2"/>
    <w:rsid w:val="00180907"/>
    <w:rsid w:val="00186EAE"/>
    <w:rsid w:val="001931C1"/>
    <w:rsid w:val="001A60F5"/>
    <w:rsid w:val="001B16ED"/>
    <w:rsid w:val="001B4A7D"/>
    <w:rsid w:val="001C177C"/>
    <w:rsid w:val="001C5EAF"/>
    <w:rsid w:val="001E13E7"/>
    <w:rsid w:val="001E2E7A"/>
    <w:rsid w:val="001E4B6B"/>
    <w:rsid w:val="001E594D"/>
    <w:rsid w:val="001E5C6C"/>
    <w:rsid w:val="001F47F5"/>
    <w:rsid w:val="00222E74"/>
    <w:rsid w:val="00223B64"/>
    <w:rsid w:val="00231075"/>
    <w:rsid w:val="00233BAD"/>
    <w:rsid w:val="00233D38"/>
    <w:rsid w:val="00236953"/>
    <w:rsid w:val="00237623"/>
    <w:rsid w:val="00240DAF"/>
    <w:rsid w:val="0024474C"/>
    <w:rsid w:val="00251CEE"/>
    <w:rsid w:val="00255965"/>
    <w:rsid w:val="00257147"/>
    <w:rsid w:val="002706FE"/>
    <w:rsid w:val="00273816"/>
    <w:rsid w:val="00285988"/>
    <w:rsid w:val="002909F5"/>
    <w:rsid w:val="002932E1"/>
    <w:rsid w:val="0029766D"/>
    <w:rsid w:val="002A2484"/>
    <w:rsid w:val="002A2980"/>
    <w:rsid w:val="002A2B19"/>
    <w:rsid w:val="002B0E40"/>
    <w:rsid w:val="002B6C4D"/>
    <w:rsid w:val="002C3140"/>
    <w:rsid w:val="002D2E0F"/>
    <w:rsid w:val="002F1807"/>
    <w:rsid w:val="00302BA9"/>
    <w:rsid w:val="00316DF3"/>
    <w:rsid w:val="00322C16"/>
    <w:rsid w:val="0032313D"/>
    <w:rsid w:val="00323C8D"/>
    <w:rsid w:val="00333DA7"/>
    <w:rsid w:val="003471BE"/>
    <w:rsid w:val="003512D3"/>
    <w:rsid w:val="00353AA6"/>
    <w:rsid w:val="0036795E"/>
    <w:rsid w:val="00374D31"/>
    <w:rsid w:val="0037635E"/>
    <w:rsid w:val="003879EB"/>
    <w:rsid w:val="00391D18"/>
    <w:rsid w:val="00393BE2"/>
    <w:rsid w:val="003A0A0D"/>
    <w:rsid w:val="003B307B"/>
    <w:rsid w:val="003C3579"/>
    <w:rsid w:val="003C62D1"/>
    <w:rsid w:val="003D2308"/>
    <w:rsid w:val="003D7BE3"/>
    <w:rsid w:val="003E33D9"/>
    <w:rsid w:val="003E4DB5"/>
    <w:rsid w:val="003E79E7"/>
    <w:rsid w:val="0040115A"/>
    <w:rsid w:val="00406D41"/>
    <w:rsid w:val="00411481"/>
    <w:rsid w:val="00414D4B"/>
    <w:rsid w:val="00415971"/>
    <w:rsid w:val="00422E79"/>
    <w:rsid w:val="00431600"/>
    <w:rsid w:val="00445BC8"/>
    <w:rsid w:val="00466446"/>
    <w:rsid w:val="00475223"/>
    <w:rsid w:val="004774B8"/>
    <w:rsid w:val="00482259"/>
    <w:rsid w:val="00491EA4"/>
    <w:rsid w:val="004A00CA"/>
    <w:rsid w:val="004A7D42"/>
    <w:rsid w:val="004C2C1E"/>
    <w:rsid w:val="004C6B41"/>
    <w:rsid w:val="004D10D4"/>
    <w:rsid w:val="004D3428"/>
    <w:rsid w:val="004D3D1D"/>
    <w:rsid w:val="004D63DF"/>
    <w:rsid w:val="004E0893"/>
    <w:rsid w:val="004E526A"/>
    <w:rsid w:val="004E57F3"/>
    <w:rsid w:val="00500F27"/>
    <w:rsid w:val="0050290B"/>
    <w:rsid w:val="005047D3"/>
    <w:rsid w:val="00506D38"/>
    <w:rsid w:val="005166E6"/>
    <w:rsid w:val="00527192"/>
    <w:rsid w:val="00530AF8"/>
    <w:rsid w:val="00531044"/>
    <w:rsid w:val="00532C99"/>
    <w:rsid w:val="00533600"/>
    <w:rsid w:val="00537FF6"/>
    <w:rsid w:val="005408BB"/>
    <w:rsid w:val="00540C06"/>
    <w:rsid w:val="00541BCE"/>
    <w:rsid w:val="0055454A"/>
    <w:rsid w:val="005609AF"/>
    <w:rsid w:val="00561D73"/>
    <w:rsid w:val="00591021"/>
    <w:rsid w:val="005A1935"/>
    <w:rsid w:val="005A1C5F"/>
    <w:rsid w:val="005A2FCC"/>
    <w:rsid w:val="005A3014"/>
    <w:rsid w:val="005A34C4"/>
    <w:rsid w:val="005A4ACB"/>
    <w:rsid w:val="005B5EA5"/>
    <w:rsid w:val="005C0813"/>
    <w:rsid w:val="005C6613"/>
    <w:rsid w:val="005E1600"/>
    <w:rsid w:val="005E21D0"/>
    <w:rsid w:val="005E2559"/>
    <w:rsid w:val="00612B33"/>
    <w:rsid w:val="0061720A"/>
    <w:rsid w:val="00623AE2"/>
    <w:rsid w:val="006261BD"/>
    <w:rsid w:val="006272FE"/>
    <w:rsid w:val="006417B5"/>
    <w:rsid w:val="00642291"/>
    <w:rsid w:val="0064312D"/>
    <w:rsid w:val="00650C07"/>
    <w:rsid w:val="0066055B"/>
    <w:rsid w:val="00662B73"/>
    <w:rsid w:val="006636CB"/>
    <w:rsid w:val="00667AA6"/>
    <w:rsid w:val="006736F3"/>
    <w:rsid w:val="00674E15"/>
    <w:rsid w:val="006843BF"/>
    <w:rsid w:val="00684C30"/>
    <w:rsid w:val="00687552"/>
    <w:rsid w:val="0069218C"/>
    <w:rsid w:val="006A5EDF"/>
    <w:rsid w:val="006B040C"/>
    <w:rsid w:val="006C5C51"/>
    <w:rsid w:val="006D51E8"/>
    <w:rsid w:val="006E7DA7"/>
    <w:rsid w:val="007009C0"/>
    <w:rsid w:val="00710262"/>
    <w:rsid w:val="0071087F"/>
    <w:rsid w:val="007151A0"/>
    <w:rsid w:val="00716AA3"/>
    <w:rsid w:val="00723BF6"/>
    <w:rsid w:val="00736443"/>
    <w:rsid w:val="00757113"/>
    <w:rsid w:val="00767510"/>
    <w:rsid w:val="00775EC4"/>
    <w:rsid w:val="007842E8"/>
    <w:rsid w:val="007864A4"/>
    <w:rsid w:val="00790188"/>
    <w:rsid w:val="007A61BC"/>
    <w:rsid w:val="007B4383"/>
    <w:rsid w:val="007B746B"/>
    <w:rsid w:val="007C132C"/>
    <w:rsid w:val="007C1512"/>
    <w:rsid w:val="007C5480"/>
    <w:rsid w:val="007D08A2"/>
    <w:rsid w:val="007D48B5"/>
    <w:rsid w:val="007D5665"/>
    <w:rsid w:val="007E609C"/>
    <w:rsid w:val="007E778F"/>
    <w:rsid w:val="0080306D"/>
    <w:rsid w:val="00813F7B"/>
    <w:rsid w:val="008346F1"/>
    <w:rsid w:val="00852735"/>
    <w:rsid w:val="00856983"/>
    <w:rsid w:val="00861ABC"/>
    <w:rsid w:val="0086532A"/>
    <w:rsid w:val="0087019F"/>
    <w:rsid w:val="00875C2D"/>
    <w:rsid w:val="00880479"/>
    <w:rsid w:val="008840DB"/>
    <w:rsid w:val="00894379"/>
    <w:rsid w:val="0089629B"/>
    <w:rsid w:val="008A36F4"/>
    <w:rsid w:val="008A495F"/>
    <w:rsid w:val="008E72F2"/>
    <w:rsid w:val="00901FE6"/>
    <w:rsid w:val="0091071E"/>
    <w:rsid w:val="0091629D"/>
    <w:rsid w:val="00920F74"/>
    <w:rsid w:val="00932708"/>
    <w:rsid w:val="009434EC"/>
    <w:rsid w:val="009572FE"/>
    <w:rsid w:val="00960454"/>
    <w:rsid w:val="00964BD0"/>
    <w:rsid w:val="009702D7"/>
    <w:rsid w:val="00973099"/>
    <w:rsid w:val="009832DD"/>
    <w:rsid w:val="00997D11"/>
    <w:rsid w:val="009A1F0F"/>
    <w:rsid w:val="009A5B88"/>
    <w:rsid w:val="009B1ECB"/>
    <w:rsid w:val="009B7EB3"/>
    <w:rsid w:val="009C3206"/>
    <w:rsid w:val="009D08C0"/>
    <w:rsid w:val="009D3404"/>
    <w:rsid w:val="009E3763"/>
    <w:rsid w:val="009E4412"/>
    <w:rsid w:val="009F38EC"/>
    <w:rsid w:val="00A036FE"/>
    <w:rsid w:val="00A1041B"/>
    <w:rsid w:val="00A163DC"/>
    <w:rsid w:val="00A16C8A"/>
    <w:rsid w:val="00A2427D"/>
    <w:rsid w:val="00A47DD8"/>
    <w:rsid w:val="00A636CC"/>
    <w:rsid w:val="00A64FA9"/>
    <w:rsid w:val="00A95523"/>
    <w:rsid w:val="00A97F1D"/>
    <w:rsid w:val="00AB470C"/>
    <w:rsid w:val="00AE2324"/>
    <w:rsid w:val="00AE589C"/>
    <w:rsid w:val="00AF1801"/>
    <w:rsid w:val="00AF4460"/>
    <w:rsid w:val="00AF5D4F"/>
    <w:rsid w:val="00AF71D6"/>
    <w:rsid w:val="00B02B71"/>
    <w:rsid w:val="00B03B21"/>
    <w:rsid w:val="00B07165"/>
    <w:rsid w:val="00B07344"/>
    <w:rsid w:val="00B165ED"/>
    <w:rsid w:val="00B32EC6"/>
    <w:rsid w:val="00B36E8E"/>
    <w:rsid w:val="00B37564"/>
    <w:rsid w:val="00B40331"/>
    <w:rsid w:val="00B50EB7"/>
    <w:rsid w:val="00B55BFC"/>
    <w:rsid w:val="00B5741B"/>
    <w:rsid w:val="00B63407"/>
    <w:rsid w:val="00B64297"/>
    <w:rsid w:val="00B76482"/>
    <w:rsid w:val="00B80F38"/>
    <w:rsid w:val="00B81C6F"/>
    <w:rsid w:val="00B82BD3"/>
    <w:rsid w:val="00B956B3"/>
    <w:rsid w:val="00B970D3"/>
    <w:rsid w:val="00BA1379"/>
    <w:rsid w:val="00BA2405"/>
    <w:rsid w:val="00BA3BE0"/>
    <w:rsid w:val="00BB1E9C"/>
    <w:rsid w:val="00BB64E6"/>
    <w:rsid w:val="00BC697C"/>
    <w:rsid w:val="00BE0DF1"/>
    <w:rsid w:val="00BE1AF8"/>
    <w:rsid w:val="00BE597F"/>
    <w:rsid w:val="00BE7F0D"/>
    <w:rsid w:val="00BF47B9"/>
    <w:rsid w:val="00C05819"/>
    <w:rsid w:val="00C17006"/>
    <w:rsid w:val="00C43808"/>
    <w:rsid w:val="00C4448C"/>
    <w:rsid w:val="00C52C74"/>
    <w:rsid w:val="00C63E1C"/>
    <w:rsid w:val="00C65399"/>
    <w:rsid w:val="00C656CF"/>
    <w:rsid w:val="00C70AEC"/>
    <w:rsid w:val="00C71C14"/>
    <w:rsid w:val="00C91B0B"/>
    <w:rsid w:val="00CA552B"/>
    <w:rsid w:val="00CA7270"/>
    <w:rsid w:val="00CA732D"/>
    <w:rsid w:val="00CA7D6C"/>
    <w:rsid w:val="00CB0109"/>
    <w:rsid w:val="00CC11B1"/>
    <w:rsid w:val="00CD5FA6"/>
    <w:rsid w:val="00CF55F0"/>
    <w:rsid w:val="00CF6A0F"/>
    <w:rsid w:val="00D14EA9"/>
    <w:rsid w:val="00D25C4C"/>
    <w:rsid w:val="00D42AF0"/>
    <w:rsid w:val="00D42B4A"/>
    <w:rsid w:val="00D43D80"/>
    <w:rsid w:val="00D52D01"/>
    <w:rsid w:val="00D53A11"/>
    <w:rsid w:val="00D54DFB"/>
    <w:rsid w:val="00D64F67"/>
    <w:rsid w:val="00DA0D77"/>
    <w:rsid w:val="00DA34CB"/>
    <w:rsid w:val="00DB07C7"/>
    <w:rsid w:val="00DB7F32"/>
    <w:rsid w:val="00DC0771"/>
    <w:rsid w:val="00DC3093"/>
    <w:rsid w:val="00DC3C87"/>
    <w:rsid w:val="00DD7E93"/>
    <w:rsid w:val="00DE7D47"/>
    <w:rsid w:val="00DF1F9F"/>
    <w:rsid w:val="00DF1FEB"/>
    <w:rsid w:val="00E03032"/>
    <w:rsid w:val="00E16522"/>
    <w:rsid w:val="00E21B30"/>
    <w:rsid w:val="00E35BC3"/>
    <w:rsid w:val="00E44AE6"/>
    <w:rsid w:val="00E45288"/>
    <w:rsid w:val="00E61045"/>
    <w:rsid w:val="00E66797"/>
    <w:rsid w:val="00E71C02"/>
    <w:rsid w:val="00E828CF"/>
    <w:rsid w:val="00E95D01"/>
    <w:rsid w:val="00EA3254"/>
    <w:rsid w:val="00EA4B7A"/>
    <w:rsid w:val="00EC5F13"/>
    <w:rsid w:val="00EC6F57"/>
    <w:rsid w:val="00EC78A5"/>
    <w:rsid w:val="00ED2539"/>
    <w:rsid w:val="00ED5B3D"/>
    <w:rsid w:val="00EE0F08"/>
    <w:rsid w:val="00EE42E9"/>
    <w:rsid w:val="00EE5126"/>
    <w:rsid w:val="00EF5D82"/>
    <w:rsid w:val="00F06DAC"/>
    <w:rsid w:val="00F173A8"/>
    <w:rsid w:val="00F179CA"/>
    <w:rsid w:val="00F22D4F"/>
    <w:rsid w:val="00F31882"/>
    <w:rsid w:val="00F37632"/>
    <w:rsid w:val="00F42C66"/>
    <w:rsid w:val="00F46B4C"/>
    <w:rsid w:val="00F63743"/>
    <w:rsid w:val="00F6577F"/>
    <w:rsid w:val="00F76FF9"/>
    <w:rsid w:val="00F809BB"/>
    <w:rsid w:val="00F86438"/>
    <w:rsid w:val="00F93723"/>
    <w:rsid w:val="00F973BC"/>
    <w:rsid w:val="00FA5921"/>
    <w:rsid w:val="00FA6931"/>
    <w:rsid w:val="00FA7A17"/>
    <w:rsid w:val="00FB0CAD"/>
    <w:rsid w:val="00FC28A3"/>
    <w:rsid w:val="00FD1779"/>
    <w:rsid w:val="00FD192E"/>
    <w:rsid w:val="00FD482B"/>
    <w:rsid w:val="00FD5198"/>
    <w:rsid w:val="00FD7473"/>
    <w:rsid w:val="00FF3471"/>
    <w:rsid w:val="00FF3E37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8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WSty2">
    <w:name w:val="DWSty2"/>
    <w:basedOn w:val="Normale"/>
    <w:rsid w:val="005408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overflowPunct w:val="0"/>
      <w:autoSpaceDE w:val="0"/>
      <w:spacing w:line="480" w:lineRule="exact"/>
      <w:jc w:val="both"/>
      <w:textAlignment w:val="baseline"/>
    </w:pPr>
    <w:rPr>
      <w:rFonts w:ascii="Courier" w:hAnsi="Courier"/>
      <w:sz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40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8B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F3763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ea@pec.area.sardegna.it" TargetMode="External"/><Relationship Id="rId2" Type="http://schemas.openxmlformats.org/officeDocument/2006/relationships/hyperlink" Target="mailto:area@area.sardegna.it" TargetMode="External"/><Relationship Id="rId1" Type="http://schemas.openxmlformats.org/officeDocument/2006/relationships/hyperlink" Target="http://www.area.sardeg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476D-6162-4792-8725-E4E29A82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Usai</dc:creator>
  <cp:lastModifiedBy>Andrea Argiolas</cp:lastModifiedBy>
  <cp:revision>2</cp:revision>
  <cp:lastPrinted>2021-06-22T15:58:00Z</cp:lastPrinted>
  <dcterms:created xsi:type="dcterms:W3CDTF">2022-05-31T14:32:00Z</dcterms:created>
  <dcterms:modified xsi:type="dcterms:W3CDTF">2022-05-31T14:32:00Z</dcterms:modified>
</cp:coreProperties>
</file>